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candidato ao concurso de </w:t>
      </w:r>
      <w:r w:rsidR="009A14AC" w:rsidRPr="009A14AC">
        <w:rPr>
          <w:rFonts w:ascii="Calibri Light" w:eastAsiaTheme="minorHAnsi" w:hAnsi="Calibri Light" w:cs="Calibri Light"/>
          <w:b/>
          <w:color w:val="auto"/>
          <w:sz w:val="22"/>
          <w:szCs w:val="22"/>
          <w:lang w:val="pt-PT" w:eastAsia="en-US"/>
        </w:rPr>
        <w:t>Bolsa de Investigação para estudantes de doutoramento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, com a referência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="009A14AC" w:rsidRPr="009A14AC">
        <w:rPr>
          <w:rFonts w:ascii="Calibri Light" w:eastAsiaTheme="minorHAnsi" w:hAnsi="Calibri Light" w:cs="Calibri Light"/>
          <w:b/>
          <w:color w:val="auto"/>
          <w:sz w:val="22"/>
          <w:szCs w:val="22"/>
          <w:lang w:val="pt-PT" w:eastAsia="en-US"/>
        </w:rPr>
        <w:t>Aviso n.º BID/14/FARM-ID/2022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, declara, sob compromisso de honra, que reúne todas as condições para ser admitido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(a)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ao concurso </w:t>
      </w:r>
      <w:proofErr w:type="gramStart"/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</w:t>
      </w:r>
      <w:proofErr w:type="gramEnd"/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, nomeadamente deter o gra</w:t>
      </w:r>
      <w:bookmarkStart w:id="0" w:name="_GoBack"/>
      <w:bookmarkEnd w:id="0"/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u de 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Mestre e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estar inscrito 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num programa doutoral.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Mestre e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num programa doutoral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não demonstração, até à fase de contratualização, da pos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se do grau de Mestre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da inscrição </w:t>
      </w:r>
      <w:r w:rsidR="009A14AC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num programa doutoral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default" r:id="rId6"/>
      <w:footerReference w:type="even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>el: +351 217 946 400 (Ext. 14371</w:t>
    </w: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9A14AC" w:rsidP="00EA17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063FFC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8D3AB5"/>
    <w:rsid w:val="009A14AC"/>
    <w:rsid w:val="00A526AA"/>
    <w:rsid w:val="00BA1178"/>
    <w:rsid w:val="00BE7662"/>
    <w:rsid w:val="00C201EF"/>
    <w:rsid w:val="00CB26BF"/>
    <w:rsid w:val="00D076F1"/>
    <w:rsid w:val="00DA53F6"/>
    <w:rsid w:val="00E34771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2BF134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2</cp:revision>
  <dcterms:created xsi:type="dcterms:W3CDTF">2022-11-23T12:04:00Z</dcterms:created>
  <dcterms:modified xsi:type="dcterms:W3CDTF">2022-11-23T12:04:00Z</dcterms:modified>
</cp:coreProperties>
</file>